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490E" w:rsidRPr="00F0490E" w:rsidRDefault="00F0490E" w:rsidP="00763ABB">
      <w:pPr>
        <w:shd w:val="clear" w:color="auto" w:fill="FFFFFF"/>
        <w:spacing w:after="24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fldChar w:fldCharType="begin"/>
      </w: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instrText xml:space="preserve"> HYPERLINK "http://conference.moi2030.ssf-bg.eu/2017/03/27/%d1%82%d0%b5%d0%bc%d0%b8/" </w:instrText>
      </w: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fldChar w:fldCharType="separate"/>
      </w:r>
      <w:r w:rsidRPr="00F0490E">
        <w:rPr>
          <w:rFonts w:ascii="Arial" w:eastAsia="Times New Roman" w:hAnsi="Arial" w:cs="Arial"/>
          <w:b/>
          <w:bCs/>
          <w:color w:val="1A1A1A"/>
          <w:sz w:val="20"/>
          <w:szCs w:val="20"/>
          <w:lang w:eastAsia="bg-BG"/>
        </w:rPr>
        <w:t>Теми</w:t>
      </w: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fldChar w:fldCharType="end"/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ПАНЕЛ 1. Реформи в променената среда за сигурност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sz w:val="20"/>
          <w:szCs w:val="20"/>
          <w:u w:val="single"/>
          <w:lang w:eastAsia="bg-BG"/>
        </w:rPr>
        <w:t>Ключови области: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br/>
        <w:t>Граждански права и сигурност – измерения в 21 век, реформа, политики, нормативна база.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sz w:val="20"/>
          <w:szCs w:val="20"/>
          <w:lang w:eastAsia="bg-BG"/>
        </w:rPr>
        <w:t>АНОТАЦИЯ: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Докладите трябва да отразяват спецификите на променената среда и предизвикателствата пред МВР на национално и Европейско ниво, а също така да включват предложения за промяна на стратегическо ниво. Докладите, които се представят и касаят политиките за сигурност трябва да съдържат поне един от следните елементи: кратко-, средно- и дългосрочни мерки за повишаване качеството на услугата „сигурност“ и ефективността на МВР. В тази тема могат да се представят научни доклади, които анализират и систематизират съществуващите политики, измерват тяхната адекватност и целесъобразност и предлагат конкретни мерки за повишаване на ефективността на МВР и качеството на услугата „сигурност“.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В този панел се разглеждат темите за гражданските права и свободи, както и в каква степен мерките, предприети в тези области отговарят на реалната ситуация, нужди и потребности на гражданите на Република България и служителите в МВР.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В този панел могат да се представят доклади, които разглеждат  корелацията между мерките за сигурност, ограничаването на гражданските права и свободи и степента на ефективност на тези ограничения по отношение качеството на работа на служителите в МВР. 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Научните доклади могат да бъдат изготвени на база на проведени теренни изследвания, като са допустими доклади, които изследват степента на ограничаване на правата на служителите и гражданите, ефекта върху работата и нагласите на гражданите и служителите и склонността им да приемат ограничаването на тези свои права, както и по какъв начин това кореспондира с принципите на демокрацията и до каква степен подобно ограничение представлява отстъпление от тях.  В този панел са допустими доклади, които разглеждат всички видове политики в сферата на обществен ред и сигурност и биха допринесли за повишаване ефективността на работа на МВР и сигурността на гражданите.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ПАНЕЛ 2. МВР и гражданите: линии на взаимодействие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sz w:val="20"/>
          <w:szCs w:val="20"/>
          <w:u w:val="single"/>
          <w:lang w:eastAsia="bg-BG"/>
        </w:rPr>
        <w:t>Ключови области: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br/>
        <w:t>1. Гражданско участие в политиките, граждански мониторинг и контрол върху дейността.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br/>
        <w:t>2. Превенция, разкриваемост, сигурност.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sz w:val="20"/>
          <w:szCs w:val="20"/>
          <w:lang w:eastAsia="bg-BG"/>
        </w:rPr>
        <w:t>АНОТАЦИЯ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t xml:space="preserve">В този панел, научните доклади трябва да разглеждат темите, касаещи възможностите за гражданско участие в планирането, прилагането, изпълнението и отчетността на политиките за сигурност и възможността за постоянен мониторинг на този процес. Една </w:t>
      </w: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lastRenderedPageBreak/>
        <w:t>от важните теми е свързана с информираността на гражданите за Научните доклади трябва да включват анализ на методите, стандартите и дълго-, средно- и краткосрочните политики за подбор и повишаване на професионалната квалификация на служителите в МВР, както и препоръки за повишаване на професионалната квалификация на служителите. В научните доклади могат да бъдат разгледани отделни компоненти на професионалната подготовка на служителите в МВР. Важен компонент в този панел е качеството на оборудване, обучение и екипировка на служителите в МВР в България, които са основен инструмент за повишаване на ефективността им и повишаване на качеството на услугата „сигурност“. Допуска се в докладите да има аналогия с оборудването, екипировката и обучението на служители в правоохранителни институции в ЕС. 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Втората тема, която е включена в този панел се отнася до обучението и последващата професионална квалификация, която получават служителите в МВР, целящи развитието и поддържането на социални и езикови компетенции.  В научните доклади е важно да бъдат разгледани съществуващите програми за обучени и квалификация на служителите в МВР, критериите за участие на служителите в тях и да бъдат представени препоръки за включване на нови теми или промяна на политиките за професионална квалификация.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Научните доклади трябва да разглеждат служебните правомощия на служителите,  доколко те отговарят на нуждите на гражданите и в каква степен им помагат да изпълняват служебните си задължения и защитят здравето и живота си в рискови ситуации. В този панел се разглежда и темата за ролята и функциите на синдикалните организации, правната защита, стандартът  „абсолютна необходимост“ и доколко има ясно и обективно измерими критерии за неговото прилагане. Другата тема е свързана с материалната обезпеченост по отношение на средствата за лична защита, тяхното качество и политиките в тази сфера. Друг акцент в този панел е профилактиката и превенцията на социално-значими заболявания и мерките, които се предприемат в тази област и политиките на МВР за психично здраве на служителите. В докладите могат да бъдат представени данни от направени изследвания, анализи на наличните програми и политики касаещи повишаване на мотивацията на служителите, управление на професионалният стрес, психологическата помощ и подкрепа, съществуващите механизми за нейното оказване. В научните доклади трябва да бъдат включени препоръки за подобряване на политиките в тази област.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i/>
          <w:iCs/>
          <w:sz w:val="20"/>
          <w:szCs w:val="20"/>
          <w:lang w:eastAsia="bg-BG"/>
        </w:rPr>
        <w:t> </w:t>
      </w: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Научните доклади могат да са базирани на получени данни от емпирични изследвания, сравнителен анализ между мерките в България и ЕС или анализ на съществуващите нормативни документи, но задължително трябва да включват препоръки за повишаване сигурността и безопасността на служителите в МВР. Научните доклади могат да разглеждат работата на МВР, степента на  гражданска активност и мотивация на гражданите да участват и активно да подпомагат дейността на МВР.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Научните доклади, могат  да разглеждат  и съвременните аспекти и политики в ЕС по отношение на превенцията и разкриваемостта на правоохранителните служби и какви са политиките в тази област в МВР. Научните доклади може да разглеждат политиките за превенция и разкриваемост в МВР и да съдържат анализ на индикаторите за измерване на ефективността на ведомството във всяка от едната области. Всички научни доклади трябва да съдържат препоръки за подобряване работата и повишаване ефективността на МВР.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Превенцията може да бъде разглеждана в широк смисъл като превенция на употребата на наркотични и упойващи вещества, трафик на хора, противообществено поведение и прояви и др. в в т.ч.  може да бъде включена превенцията и защитата от дискриминация на гражданите, както и доколко те са ефикасни и ефективни.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ПАНЕЛ 3. МВР: добро управление в услуга на обществото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sz w:val="20"/>
          <w:szCs w:val="20"/>
          <w:u w:val="single"/>
          <w:lang w:eastAsia="bg-BG"/>
        </w:rPr>
        <w:t>Ключови области: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br/>
        <w:t>1. Качество на управление на системата.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br/>
        <w:t>2. Качество на услугата „сигурност“.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br/>
        <w:t>3. Осигуряване на професионалната работа в МВР.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br/>
        <w:t>4. Сигурност, безопасност, защита на служителите.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sz w:val="20"/>
          <w:szCs w:val="20"/>
          <w:lang w:eastAsia="bg-BG"/>
        </w:rPr>
        <w:t>АНОТАЦИЯ: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Научните доклади трябва да разглеждат служебните правомощия на служителите,  доколко те отговарят на нуждите на гражданите и в каква степен им помагат да изпълняват служебните си задължения и защитят здравето и живота си в рискови ситуации. В този панел се разглежда и темата за ролята и функциите на синдикалните организации, правната защита, стандартът  „абсолютна необходимост“ и доколко има ясно и обективно измерими критерии за неговото прилагане. Другата тема е свързана с материалната обезпеченост по отношение на средствата за лична защита, тяхното качество и политиките в тази сфера. Друг акцент в този панел е профилактиката и превенцията на социално-значими заболявания и мерките, които се предприемат в тази област и политиките на МВР за психично здраве на служителите. В докладите могат да бъдат представени данни от направени изследвания, анализи на наличните програми и политики касаещи повишаване на мотивацията на служителите, управление на професионалният стрес, психологическата помощ и подкрепа, съществуващите механизми за нейното оказване. В научните доклади трябва да бъдат включени препоръки за подобряване на политиките в тази област.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i/>
          <w:iCs/>
          <w:sz w:val="20"/>
          <w:szCs w:val="20"/>
          <w:lang w:eastAsia="bg-BG"/>
        </w:rPr>
        <w:t> </w:t>
      </w: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Научните доклади могат да са базирани на получени данни от емпирични изследвания, сравнителен анализ между мерките в България и ЕС или анализ на съществуващите нормативни документи, но задължително трябва да включват препоръки за повишаване сигурността и безопасността на служителите в МВР.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Научните доклади трябва да включват анализ на методите, стандартите и дълго-, средно- и краткосрочните политики за подбор и повишаване на професионалната квалификация на служителите в МВР, както и препоръки за повишаване на професионалната квалификация на служителите. В научните доклади могат да бъдат разгледани отделни компоненти на професионалната подготовка на служителите в МВР. Важен компонент в този панел е качеството на оборудване, обучение и екипировка на служителите в МВР в България, които са основен инструмент за повишаване на ефективността им и повишаване на качеството на услугата „сигурност“. Допуска се в докладите да има аналогия с оборудването, екипировката и обучението на служители в правоохранителни институции в ЕС. 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Втората тема, която е включена в този панел се отнася до обучението и последващата професионална квалификация, която получават служителите в МВР, целящи развитието и поддържането на социални и езикови компетенции.  В научните доклади е важно да бъдат разгледани съществуващите програми за обучени и квалификация на служителите в МВР, критериите за участие на служителите в тях и да бъдат представени препоръки за включване на нови теми или промяна на политиките за професионална квалификация.</w:t>
      </w:r>
    </w:p>
    <w:p w:rsidR="00F0490E" w:rsidRPr="00F0490E" w:rsidRDefault="00F0490E" w:rsidP="00763ABB">
      <w:pPr>
        <w:shd w:val="clear" w:color="auto" w:fill="FFFFFF"/>
        <w:spacing w:after="24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  <w:hyperlink r:id="rId6" w:history="1">
        <w:r w:rsidRPr="00F0490E">
          <w:rPr>
            <w:rFonts w:ascii="Arial" w:eastAsia="Times New Roman" w:hAnsi="Arial" w:cs="Arial"/>
            <w:b/>
            <w:bCs/>
            <w:color w:val="1A1A1A"/>
            <w:sz w:val="20"/>
            <w:szCs w:val="20"/>
            <w:lang w:eastAsia="bg-BG"/>
          </w:rPr>
          <w:t>ИЗИСКВАНИЯ</w:t>
        </w:r>
      </w:hyperlink>
    </w:p>
    <w:p w:rsidR="00763ABB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ИЗИСКВАНИЯ КЪМ РЕЗЮМЕТАТА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sz w:val="20"/>
          <w:szCs w:val="20"/>
          <w:lang w:eastAsia="bg-BG"/>
        </w:rPr>
        <w:br/>
        <w:t xml:space="preserve">резюметата на научните доклади, трябва да включват: темата на доклада, панелът, в който 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авторът смята, че попада докладът и описание на основните акценти и теми, които ще бъдат представени в научния доклад ( до 200 думи). Резюметата ще бъдат набирани посредством специална регистрационна форма, която е публикувана на сайта на Конференцията. Авторите трябва да предоставят задължително контактна информация ( телефон и имейл), която да бъде използвана от представителите на организационния комитет в случай, че има възникнали въпроси.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ИЗИСКВАНИЯ КЪМ ДОКЛАДИТЕ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sz w:val="20"/>
          <w:szCs w:val="20"/>
          <w:lang w:eastAsia="bg-BG"/>
        </w:rPr>
        <w:t>Текстовете на научните доклади трябва да са подготвени за печат в DOC и в PDF формат, без странициране. Не се предвижда допълнително редактиране.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sz w:val="20"/>
          <w:szCs w:val="20"/>
          <w:lang w:eastAsia="bg-BG"/>
        </w:rPr>
        <w:t>Максимален обем: 10 страници A4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1. Полетата на всяка страница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>трябва да са: ляво – 20 мм, дясно – 15 мм, горно- 15 мм, долно – 15 мм.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2. Текстът 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>да бъде оформен по следния начин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ЗАГЛАВИЕTO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> – Font: Times New Roman; Size: 14; Font style: Bold; Effects: All Caps; Paragraph Alignment: Centered.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ИМЕНАТА НА АВТОРИТЕ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> се печатат през 1 празен ред под заглавието в разгърнат вид – пълно собствено, инициал на бащиното и пълно фамилно име; Font: Times New Roman, Size: 14, Font style: Bold, Paragraph Alignment: Centered.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АДРЕСИTE ЗА КОРЕСПОНДЕНЦИЯ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> се изписват през още един празен ред (без абревиатури), Font: Times New Roman, Size: 14; Font style: Italic, Effects: All Caps, Paragraph Alignment: Centered.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ЗАГЛАВИЕТО И ИМЕНАТА НА АВТОРИТЕ НА АНГЛИЙСКИ ЕЗИК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> се разполагат както следва: заглавие през 2 празни реда под адресите за кореспонденция; имената през 1 празен ред под него – стиловото им оформяне съответства на българските им еквиваленти.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АНОТАЦИЯТА И КЛЮЧОВИТЕ ДУМИ НА АНГЛИЙСКИ ЕЗИК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> се оформят така: анотацията (ABSTRACT) в обем до 5 реда през 1 празен ред – Font: Times New Roman, Size: 12, Font style: Italic, Paragraph Alignment: Justified; през 1 празен ред следват ключовите думи (дескриптори – KEY WORDS) – Font: Times New Roman, Size: 12, Font style: Italic; Paragraph Alignment: Justified, и двата елемента с отстъп 0,5 cm вляво от рамката, ограничаваща основния текст.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ОСНОВЕН ТЕКСТ 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>– Започва през 1 празен ред. Font: Times New Roman, Size: 12; Paragraph First line: 0,5 cm, Line spacing: Single, Alignment: Justified.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3.Графиките и фигурите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 xml:space="preserve"> трябва да бъдат прецизно изработени, интегрирани към текста и да имат номерация под тях. Шрифтът в тях да е с размер 10 pt.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4. Литературата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>, посочена в края на доклада, се изписва съгласно стандарта за библиографско описание, а цитираната в текста се означава с цифра, заградена в квадратни скоби [ ].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5. Научните доклади да не съдържат класифицирана информация по смисъла на член 1 ал. (3) от Закона за защита на класифицираната информация. 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>При некоректно подадена информация авторът носи отговорност по чл. 31 от ЗЗКИ.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sz w:val="20"/>
          <w:szCs w:val="20"/>
          <w:lang w:eastAsia="bg-BG"/>
        </w:rPr>
        <w:t>По-долу може да изтеглите примерен файл с отразени изискванията към докладите, който да ползвате като шаблон.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Научните доклади, които не са подготвени съгласно изискванията и не са получени до определения краен срок, няма да бъдат представени на научно-практическата конференция и няма да бъдат отпечатани.  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t xml:space="preserve">Научните доклади се изпращат в електронен вид на сайта на </w:t>
      </w:r>
      <w:r w:rsidR="00763ABB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к</w:t>
      </w: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онференцията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 xml:space="preserve"> (</w:t>
      </w:r>
      <w:hyperlink r:id="rId7" w:history="1">
        <w:r w:rsidRPr="00F0490E">
          <w:rPr>
            <w:rFonts w:ascii="Arial" w:eastAsia="Times New Roman" w:hAnsi="Arial" w:cs="Arial"/>
            <w:color w:val="007ACC"/>
            <w:sz w:val="20"/>
            <w:szCs w:val="20"/>
            <w:lang w:eastAsia="bg-BG"/>
          </w:rPr>
          <w:t>http://conference.moi2030.ssf-bg.eu/</w:t>
        </w:r>
      </w:hyperlink>
      <w:r w:rsidRPr="00F0490E">
        <w:rPr>
          <w:rFonts w:ascii="Arial" w:eastAsia="Times New Roman" w:hAnsi="Arial" w:cs="Arial"/>
          <w:sz w:val="20"/>
          <w:szCs w:val="20"/>
          <w:lang w:eastAsia="bg-BG"/>
        </w:rPr>
        <w:t xml:space="preserve">) </w:t>
      </w: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или на имейл-адресът на Конференцията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 xml:space="preserve"> (</w:t>
      </w:r>
      <w:hyperlink r:id="rId8" w:history="1">
        <w:r w:rsidRPr="00F0490E">
          <w:rPr>
            <w:rFonts w:ascii="Arial" w:eastAsia="Times New Roman" w:hAnsi="Arial" w:cs="Arial"/>
            <w:color w:val="007ACC"/>
            <w:sz w:val="20"/>
            <w:szCs w:val="20"/>
            <w:lang w:eastAsia="bg-BG"/>
          </w:rPr>
          <w:t>conference.MoI2030@gmail.com</w:t>
        </w:r>
      </w:hyperlink>
      <w:r w:rsidRPr="00F0490E">
        <w:rPr>
          <w:rFonts w:ascii="Arial" w:eastAsia="Times New Roman" w:hAnsi="Arial" w:cs="Arial"/>
          <w:sz w:val="20"/>
          <w:szCs w:val="20"/>
          <w:lang w:eastAsia="bg-BG"/>
        </w:rPr>
        <w:t>)</w:t>
      </w: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t xml:space="preserve"> Същите се включват в програмата след преглеждане и установяване, че съответстват с изискванията. Научните доклади на конференцията ще бъдат отпечатани в сборник.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ТЕМА:  МВР 2030: ПРЕДИЗВИКАТЕЛСТВА ПРЕД  ПОЛИТИКИТЕ ЗА СИГУРНОСТ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Научно-приложна конференция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ЦЕЛИ НА КОНФЕРЕНЦИЯТА: </w:t>
      </w:r>
    </w:p>
    <w:p w:rsidR="00F0490E" w:rsidRPr="00F0490E" w:rsidRDefault="00F0490E" w:rsidP="00763A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7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sz w:val="20"/>
          <w:szCs w:val="20"/>
          <w:lang w:eastAsia="bg-BG"/>
        </w:rPr>
        <w:t>Да се разгледат и анализират основните предизвикателства пред МВР и да се предложат решения за справяне с възникналите проблеми.</w:t>
      </w:r>
    </w:p>
    <w:p w:rsidR="00F0490E" w:rsidRPr="00F0490E" w:rsidRDefault="00F0490E" w:rsidP="00763A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7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sz w:val="20"/>
          <w:szCs w:val="20"/>
          <w:lang w:eastAsia="bg-BG"/>
        </w:rPr>
        <w:t>Да се постигне съгласие за необходимостта от устойчиви реформи и да се разшири кръга от експерти, участващи в дебата и реформирането на МВР.</w:t>
      </w:r>
    </w:p>
    <w:p w:rsidR="00F0490E" w:rsidRPr="00F0490E" w:rsidRDefault="00F0490E" w:rsidP="00763A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7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sz w:val="20"/>
          <w:szCs w:val="20"/>
          <w:lang w:eastAsia="bg-BG"/>
        </w:rPr>
        <w:t>Да се поставят основите на нови стратегия за обществен ред и сигурност до 2030 г. и нов Закон за Министерство на вътрешните работи.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ПАНЕЛ 1. Реформи в променената среда за сигурност 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 </w:t>
      </w:r>
      <w:r w:rsidRPr="00F0490E">
        <w:rPr>
          <w:rFonts w:ascii="Arial" w:eastAsia="Times New Roman" w:hAnsi="Arial" w:cs="Arial"/>
          <w:sz w:val="20"/>
          <w:szCs w:val="20"/>
          <w:u w:val="single"/>
          <w:lang w:eastAsia="bg-BG"/>
        </w:rPr>
        <w:t xml:space="preserve">Ключови области: 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Граждански права и сигурност – измерения в 21 век, реформа, политики, нормативна база.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 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ПАНЕЛ 2. МВР и гражданите: линии на взаимодействие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 </w:t>
      </w:r>
      <w:r w:rsidRPr="00F0490E">
        <w:rPr>
          <w:rFonts w:ascii="Arial" w:eastAsia="Times New Roman" w:hAnsi="Arial" w:cs="Arial"/>
          <w:sz w:val="20"/>
          <w:szCs w:val="20"/>
          <w:u w:val="single"/>
          <w:lang w:eastAsia="bg-BG"/>
        </w:rPr>
        <w:t>Ключови области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>:</w:t>
      </w:r>
    </w:p>
    <w:p w:rsidR="00F0490E" w:rsidRPr="00F0490E" w:rsidRDefault="00F0490E" w:rsidP="00763A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7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lastRenderedPageBreak/>
        <w:t>Гражданско участие в политиките, граждански мониторинг и контрол върху дейността.</w:t>
      </w:r>
    </w:p>
    <w:p w:rsidR="00F0490E" w:rsidRPr="00F0490E" w:rsidRDefault="00F0490E" w:rsidP="00763A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7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Превенция, разкриваемост, сигурност.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ПАНЕЛ 3. МВР: добро управление в услуга на обществото 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 </w:t>
      </w:r>
      <w:r w:rsidRPr="00F0490E">
        <w:rPr>
          <w:rFonts w:ascii="Arial" w:eastAsia="Times New Roman" w:hAnsi="Arial" w:cs="Arial"/>
          <w:sz w:val="20"/>
          <w:szCs w:val="20"/>
          <w:u w:val="single"/>
          <w:lang w:eastAsia="bg-BG"/>
        </w:rPr>
        <w:t xml:space="preserve">Ключови области: </w:t>
      </w:r>
    </w:p>
    <w:p w:rsidR="00F0490E" w:rsidRPr="00F0490E" w:rsidRDefault="00F0490E" w:rsidP="00763A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7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Качество на управление на системата.</w:t>
      </w:r>
    </w:p>
    <w:p w:rsidR="00F0490E" w:rsidRPr="00F0490E" w:rsidRDefault="00F0490E" w:rsidP="00763A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7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Качество на услугата „сигурност“.</w:t>
      </w:r>
    </w:p>
    <w:p w:rsidR="00F0490E" w:rsidRPr="00F0490E" w:rsidRDefault="00F0490E" w:rsidP="00763A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7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Осигуряване на професионалната работа в МВР.</w:t>
      </w:r>
    </w:p>
    <w:p w:rsidR="00F0490E" w:rsidRPr="00F0490E" w:rsidRDefault="00F0490E" w:rsidP="00763A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7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Сигурност, безопасност, защита на служителите.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Дата на провеждане: 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>8 ноември 2017 год.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Място на провеждане: 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>Университет за национално и световно стопанство (УНСС)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Организатори: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sz w:val="20"/>
          <w:szCs w:val="20"/>
          <w:lang w:eastAsia="bg-BG"/>
        </w:rPr>
        <w:t>Фондация „Общество и сигурност“ (</w:t>
      </w:r>
      <w:hyperlink r:id="rId9" w:history="1">
        <w:r w:rsidRPr="00F0490E">
          <w:rPr>
            <w:rFonts w:ascii="Arial" w:eastAsia="Times New Roman" w:hAnsi="Arial" w:cs="Arial"/>
            <w:color w:val="007ACC"/>
            <w:sz w:val="20"/>
            <w:szCs w:val="20"/>
            <w:lang w:eastAsia="bg-BG"/>
          </w:rPr>
          <w:t>http://ssf-bg.eu/bg/</w:t>
        </w:r>
      </w:hyperlink>
      <w:r w:rsidRPr="00F0490E">
        <w:rPr>
          <w:rFonts w:ascii="Arial" w:eastAsia="Times New Roman" w:hAnsi="Arial" w:cs="Arial"/>
          <w:sz w:val="20"/>
          <w:szCs w:val="20"/>
          <w:lang w:eastAsia="bg-BG"/>
        </w:rPr>
        <w:t>)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sz w:val="20"/>
          <w:szCs w:val="20"/>
          <w:lang w:eastAsia="bg-BG"/>
        </w:rPr>
        <w:t>Катедри „Национална и регионална сигурност“ и  „Публична администрация“, УНСС (</w:t>
      </w:r>
      <w:hyperlink r:id="rId10" w:history="1">
        <w:r w:rsidRPr="00F0490E">
          <w:rPr>
            <w:rFonts w:ascii="Arial" w:eastAsia="Times New Roman" w:hAnsi="Arial" w:cs="Arial"/>
            <w:color w:val="007ACC"/>
            <w:sz w:val="20"/>
            <w:szCs w:val="20"/>
            <w:lang w:eastAsia="bg-BG"/>
          </w:rPr>
          <w:t>http://www.unwe.bg</w:t>
        </w:r>
      </w:hyperlink>
      <w:r w:rsidRPr="00F0490E">
        <w:rPr>
          <w:rFonts w:ascii="Arial" w:eastAsia="Times New Roman" w:hAnsi="Arial" w:cs="Arial"/>
          <w:sz w:val="20"/>
          <w:szCs w:val="20"/>
          <w:lang w:eastAsia="bg-BG"/>
        </w:rPr>
        <w:t>)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sz w:val="20"/>
          <w:szCs w:val="20"/>
          <w:lang w:eastAsia="bg-BG"/>
        </w:rPr>
        <w:t>Синдикална федерация на служителите в Министерство на вътрешните работи (</w:t>
      </w:r>
      <w:hyperlink r:id="rId11" w:history="1">
        <w:r w:rsidRPr="00F0490E">
          <w:rPr>
            <w:rFonts w:ascii="Arial" w:eastAsia="Times New Roman" w:hAnsi="Arial" w:cs="Arial"/>
            <w:color w:val="007ACC"/>
            <w:sz w:val="20"/>
            <w:szCs w:val="20"/>
            <w:lang w:eastAsia="bg-BG"/>
          </w:rPr>
          <w:t>http://sfsmvr.org/</w:t>
        </w:r>
      </w:hyperlink>
      <w:r w:rsidRPr="00F0490E">
        <w:rPr>
          <w:rFonts w:ascii="Arial" w:eastAsia="Times New Roman" w:hAnsi="Arial" w:cs="Arial"/>
          <w:sz w:val="20"/>
          <w:szCs w:val="20"/>
          <w:lang w:eastAsia="bg-BG"/>
        </w:rPr>
        <w:t>)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0490E" w:rsidRPr="00F0490E" w:rsidRDefault="00F0490E" w:rsidP="00763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noProof/>
          <w:vanish/>
          <w:sz w:val="20"/>
          <w:szCs w:val="20"/>
          <w:lang w:eastAsia="bg-BG"/>
        </w:rPr>
        <w:drawing>
          <wp:inline distT="0" distB="0" distL="0" distR="0" wp14:anchorId="6700B3F6" wp14:editId="2104DFC7">
            <wp:extent cx="466725" cy="466725"/>
            <wp:effectExtent l="0" t="0" r="0" b="0"/>
            <wp:docPr id="3" name="Picture 3" descr="http://1.gravatar.com/avatar/19e6ad2210e59d7ac2c48aec346df3c9?s=49&amp;d=blank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gravatar.com/avatar/19e6ad2210e59d7ac2c48aec346df3c9?s=49&amp;d=blank&amp;r=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90E">
        <w:rPr>
          <w:rFonts w:ascii="Arial" w:eastAsia="Times New Roman" w:hAnsi="Arial" w:cs="Arial"/>
          <w:vanish/>
          <w:sz w:val="20"/>
          <w:szCs w:val="20"/>
          <w:lang w:eastAsia="bg-BG"/>
        </w:rPr>
        <w:t xml:space="preserve">Автор </w:t>
      </w:r>
      <w:hyperlink r:id="rId13" w:history="1">
        <w:r w:rsidRPr="00F0490E">
          <w:rPr>
            <w:rFonts w:ascii="Arial" w:eastAsia="Times New Roman" w:hAnsi="Arial" w:cs="Arial"/>
            <w:vanish/>
            <w:color w:val="007ACC"/>
            <w:sz w:val="20"/>
            <w:szCs w:val="20"/>
            <w:lang w:eastAsia="bg-BG"/>
          </w:rPr>
          <w:t>radi</w:t>
        </w:r>
      </w:hyperlink>
      <w:r w:rsidRPr="00F0490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:rsidR="00F0490E" w:rsidRPr="00F0490E" w:rsidRDefault="00F0490E" w:rsidP="00763ABB">
      <w:pPr>
        <w:shd w:val="clear" w:color="auto" w:fill="FFFFFF"/>
        <w:spacing w:after="24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  <w:hyperlink r:id="rId14" w:history="1">
        <w:r w:rsidR="00763ABB">
          <w:rPr>
            <w:rFonts w:ascii="Arial" w:eastAsia="Times New Roman" w:hAnsi="Arial" w:cs="Arial"/>
            <w:b/>
            <w:bCs/>
            <w:color w:val="1A1A1A"/>
            <w:sz w:val="20"/>
            <w:szCs w:val="20"/>
            <w:lang w:eastAsia="bg-BG"/>
          </w:rPr>
          <w:t>Условия за участие в к</w:t>
        </w:r>
        <w:r w:rsidRPr="00F0490E">
          <w:rPr>
            <w:rFonts w:ascii="Arial" w:eastAsia="Times New Roman" w:hAnsi="Arial" w:cs="Arial"/>
            <w:b/>
            <w:bCs/>
            <w:color w:val="1A1A1A"/>
            <w:sz w:val="20"/>
            <w:szCs w:val="20"/>
            <w:lang w:eastAsia="bg-BG"/>
          </w:rPr>
          <w:t>онференцията</w:t>
        </w:r>
      </w:hyperlink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sz w:val="20"/>
          <w:szCs w:val="20"/>
          <w:u w:val="single"/>
          <w:lang w:eastAsia="bg-BG"/>
        </w:rPr>
        <w:t xml:space="preserve">В </w:t>
      </w:r>
      <w:r w:rsidR="00763ABB">
        <w:rPr>
          <w:rFonts w:ascii="Arial" w:eastAsia="Times New Roman" w:hAnsi="Arial" w:cs="Arial"/>
          <w:sz w:val="20"/>
          <w:szCs w:val="20"/>
          <w:u w:val="single"/>
          <w:lang w:eastAsia="bg-BG"/>
        </w:rPr>
        <w:t>к</w:t>
      </w:r>
      <w:r w:rsidRPr="00F0490E">
        <w:rPr>
          <w:rFonts w:ascii="Arial" w:eastAsia="Times New Roman" w:hAnsi="Arial" w:cs="Arial"/>
          <w:sz w:val="20"/>
          <w:szCs w:val="20"/>
          <w:u w:val="single"/>
          <w:lang w:eastAsia="bg-BG"/>
        </w:rPr>
        <w:t>онференцията с научни доклади могат да участват: 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Студенти, 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 xml:space="preserve"> които завършват магистратура от висши училища в България и проявяват интерес към темата на научно-практическата конференция;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br/>
      </w: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Преподаватели и докторанти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 xml:space="preserve"> от висши училища, които да представят свои изследвания и разработки по темата на научно-практическата конференция.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Експерти от неправителствен сектор, професионални и браншови организации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Експерти по темата „Обществен ред и сигурност“ в държавна администрация, политически централи и представители на политически организации;</w:t>
      </w:r>
    </w:p>
    <w:p w:rsidR="00F0490E" w:rsidRPr="00F0490E" w:rsidRDefault="00F0490E" w:rsidP="00763ABB">
      <w:pPr>
        <w:shd w:val="clear" w:color="auto" w:fill="FFFFFF"/>
        <w:spacing w:after="24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  <w:hyperlink r:id="rId15" w:history="1">
        <w:r w:rsidRPr="00F0490E">
          <w:rPr>
            <w:rFonts w:ascii="Arial" w:eastAsia="Times New Roman" w:hAnsi="Arial" w:cs="Arial"/>
            <w:b/>
            <w:bCs/>
            <w:color w:val="1A1A1A"/>
            <w:sz w:val="20"/>
            <w:szCs w:val="20"/>
            <w:lang w:eastAsia="bg-BG"/>
          </w:rPr>
          <w:t>Важни дати за предаване на резюмета и доклади!</w:t>
        </w:r>
      </w:hyperlink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ДО 15 ЮНИ 2017 г.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 xml:space="preserve"> – </w:t>
      </w: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набиране на резюмета на научни доклади, които включват:  темата на доклада, панелът, в който авторът смята, че попада докладът и описание на основните акценти и теми, които ще бъдат представени в научния доклад ( до 200 думи).  Резюметата ще бъдат набирани посредством специална регистрационна форма, която е публикувана на сайта на Конференцията. Авторите трябва да предоставят задължително контактна информация ( телефон и имейл), която да бъде използвана от представителите на организационния комитет в случай, че има възникнали въпроси.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br/>
      </w: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ДО 30 СЕПТЕМВРИ 2017 г.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 xml:space="preserve"> – </w:t>
      </w:r>
      <w:r w:rsidRPr="00F0490E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предоставяне на научните доклади.</w:t>
      </w:r>
    </w:p>
    <w:p w:rsidR="00F0490E" w:rsidRPr="00F0490E" w:rsidRDefault="00F0490E" w:rsidP="00763ABB">
      <w:pPr>
        <w:shd w:val="clear" w:color="auto" w:fill="FFFFFF"/>
        <w:spacing w:after="24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  <w:hyperlink r:id="rId16" w:history="1">
        <w:r w:rsidRPr="00F0490E">
          <w:rPr>
            <w:rFonts w:ascii="Arial" w:eastAsia="Times New Roman" w:hAnsi="Arial" w:cs="Arial"/>
            <w:b/>
            <w:bCs/>
            <w:color w:val="1A1A1A"/>
            <w:sz w:val="20"/>
            <w:szCs w:val="20"/>
            <w:lang w:eastAsia="bg-BG"/>
          </w:rPr>
          <w:t>Програмен съвет</w:t>
        </w:r>
      </w:hyperlink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проф. д-р Димитър Димитров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>,  декан на факултет „Икономика на инфраструктурата“ и ръководител на  катедра „Национална и регионална сигурност“ в УНСС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доц. д-р Александър Вълков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>, ръководител на катедра „Публична администрация“ в УНСС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доц. д-р Деница Горчилова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>,  научен секретар в катедра „Публична администрация“ в УНСС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доц. д-р Андрей Нончев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>, ръководител на катедра „Икономическа социология“ в УНСС и директор на Център за социологически и психологически изследвания при УНСС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доц. д-р Блага Благоева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>,  ръководител на катедра „Политология“ в УНСС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проф. д-р Николай Арабаджийски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>, преподавател в секция „Публична администрация“ към Департамент „Администрация и управление“ на Нов български университет.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Илия Кузманов,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 xml:space="preserve"> председател на Настоятелство на Фондация „Общество и сигурност“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Валентин Попов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>, председател на УС на СФСМВР</w:t>
      </w:r>
    </w:p>
    <w:p w:rsidR="00F0490E" w:rsidRPr="00F0490E" w:rsidRDefault="00F0490E" w:rsidP="00763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noProof/>
          <w:vanish/>
          <w:sz w:val="20"/>
          <w:szCs w:val="20"/>
          <w:lang w:eastAsia="bg-BG"/>
        </w:rPr>
        <w:drawing>
          <wp:inline distT="0" distB="0" distL="0" distR="0" wp14:anchorId="5A6A0E28" wp14:editId="31ADF0C5">
            <wp:extent cx="466725" cy="466725"/>
            <wp:effectExtent l="0" t="0" r="0" b="0"/>
            <wp:docPr id="6" name="Picture 6" descr="http://1.gravatar.com/avatar/19e6ad2210e59d7ac2c48aec346df3c9?s=49&amp;d=blank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gravatar.com/avatar/19e6ad2210e59d7ac2c48aec346df3c9?s=49&amp;d=blank&amp;r=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90E">
        <w:rPr>
          <w:rFonts w:ascii="Arial" w:eastAsia="Times New Roman" w:hAnsi="Arial" w:cs="Arial"/>
          <w:vanish/>
          <w:sz w:val="20"/>
          <w:szCs w:val="20"/>
          <w:lang w:eastAsia="bg-BG"/>
        </w:rPr>
        <w:t xml:space="preserve">Автор </w:t>
      </w:r>
      <w:hyperlink r:id="rId17" w:history="1">
        <w:r w:rsidRPr="00F0490E">
          <w:rPr>
            <w:rFonts w:ascii="Arial" w:eastAsia="Times New Roman" w:hAnsi="Arial" w:cs="Arial"/>
            <w:vanish/>
            <w:color w:val="007ACC"/>
            <w:sz w:val="20"/>
            <w:szCs w:val="20"/>
            <w:lang w:eastAsia="bg-BG"/>
          </w:rPr>
          <w:t>radi</w:t>
        </w:r>
      </w:hyperlink>
      <w:r w:rsidRPr="00F0490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:rsidR="00F0490E" w:rsidRPr="00F0490E" w:rsidRDefault="00F0490E" w:rsidP="00763ABB">
      <w:pPr>
        <w:shd w:val="clear" w:color="auto" w:fill="FFFFFF"/>
        <w:spacing w:after="24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  <w:hyperlink r:id="rId18" w:history="1">
        <w:r w:rsidRPr="00F0490E">
          <w:rPr>
            <w:rFonts w:ascii="Arial" w:eastAsia="Times New Roman" w:hAnsi="Arial" w:cs="Arial"/>
            <w:b/>
            <w:bCs/>
            <w:color w:val="1A1A1A"/>
            <w:sz w:val="20"/>
            <w:szCs w:val="20"/>
            <w:lang w:eastAsia="bg-BG"/>
          </w:rPr>
          <w:t>Организационен комитет</w:t>
        </w:r>
      </w:hyperlink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Радостина Якимова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>, директор на Фондация „Общество и сигурност“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Ясен Цветков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>, докторант в катедра „Публична администрация“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Александър Йолов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>, докторант в катедра „Национална и регионална сигурност“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ас. д-р Тодорка Кинева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>, катедра „Икономическа социология“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Екатерина Митанкова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t>, докторант в катедра „Политология“</w:t>
      </w:r>
    </w:p>
    <w:p w:rsidR="00F0490E" w:rsidRPr="00F0490E" w:rsidRDefault="00F0490E" w:rsidP="00763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noProof/>
          <w:vanish/>
          <w:sz w:val="20"/>
          <w:szCs w:val="20"/>
          <w:lang w:eastAsia="bg-BG"/>
        </w:rPr>
        <w:drawing>
          <wp:inline distT="0" distB="0" distL="0" distR="0" wp14:anchorId="78FA800B" wp14:editId="3D0F14F7">
            <wp:extent cx="466725" cy="466725"/>
            <wp:effectExtent l="0" t="0" r="0" b="0"/>
            <wp:docPr id="7" name="Picture 7" descr="http://1.gravatar.com/avatar/19e6ad2210e59d7ac2c48aec346df3c9?s=49&amp;d=blank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gravatar.com/avatar/19e6ad2210e59d7ac2c48aec346df3c9?s=49&amp;d=blank&amp;r=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90E">
        <w:rPr>
          <w:rFonts w:ascii="Arial" w:eastAsia="Times New Roman" w:hAnsi="Arial" w:cs="Arial"/>
          <w:vanish/>
          <w:sz w:val="20"/>
          <w:szCs w:val="20"/>
          <w:lang w:eastAsia="bg-BG"/>
        </w:rPr>
        <w:t xml:space="preserve">Автор </w:t>
      </w:r>
      <w:hyperlink r:id="rId19" w:history="1">
        <w:r w:rsidRPr="00F0490E">
          <w:rPr>
            <w:rFonts w:ascii="Arial" w:eastAsia="Times New Roman" w:hAnsi="Arial" w:cs="Arial"/>
            <w:vanish/>
            <w:color w:val="007ACC"/>
            <w:sz w:val="20"/>
            <w:szCs w:val="20"/>
            <w:lang w:eastAsia="bg-BG"/>
          </w:rPr>
          <w:t>radi</w:t>
        </w:r>
      </w:hyperlink>
      <w:r w:rsidRPr="00F0490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:rsidR="00F0490E" w:rsidRPr="00F0490E" w:rsidRDefault="00F0490E" w:rsidP="00763ABB">
      <w:pPr>
        <w:shd w:val="clear" w:color="auto" w:fill="FFFFFF"/>
        <w:spacing w:after="24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  <w:hyperlink r:id="rId20" w:history="1">
        <w:r w:rsidRPr="00F0490E">
          <w:rPr>
            <w:rFonts w:ascii="Arial" w:eastAsia="Times New Roman" w:hAnsi="Arial" w:cs="Arial"/>
            <w:b/>
            <w:bCs/>
            <w:color w:val="1A1A1A"/>
            <w:sz w:val="20"/>
            <w:szCs w:val="20"/>
            <w:lang w:eastAsia="bg-BG"/>
          </w:rPr>
          <w:t>Фондация „Общество и сигурност“</w:t>
        </w:r>
      </w:hyperlink>
    </w:p>
    <w:p w:rsidR="00F0490E" w:rsidRDefault="00F0490E" w:rsidP="00763ABB">
      <w:pPr>
        <w:shd w:val="clear" w:color="auto" w:fill="FFFFFF"/>
        <w:spacing w:after="42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Фондация „Общество и сигурност“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br/>
        <w:t>Ул. „Ангел Кънчев“ 2, ет. М, оф. 5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br/>
        <w:t>Тел. +359 2 983 44 45</w:t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br/>
      </w:r>
      <w:r w:rsidRPr="00F0490E">
        <w:rPr>
          <w:rFonts w:ascii="Arial" w:eastAsia="Times New Roman" w:hAnsi="Arial" w:cs="Arial"/>
          <w:sz w:val="20"/>
          <w:szCs w:val="20"/>
          <w:lang w:eastAsia="bg-BG"/>
        </w:rPr>
        <w:lastRenderedPageBreak/>
        <w:t xml:space="preserve">e-mail: </w:t>
      </w:r>
      <w:hyperlink r:id="rId21" w:history="1">
        <w:r w:rsidRPr="00F0490E">
          <w:rPr>
            <w:rFonts w:ascii="Arial" w:eastAsia="Times New Roman" w:hAnsi="Arial" w:cs="Arial"/>
            <w:color w:val="007ACC"/>
            <w:sz w:val="20"/>
            <w:szCs w:val="20"/>
            <w:lang w:eastAsia="bg-BG"/>
          </w:rPr>
          <w:t>conference.MoI2030@gmail.com</w:t>
        </w:r>
      </w:hyperlink>
      <w:r w:rsidRPr="00F0490E">
        <w:rPr>
          <w:rFonts w:ascii="Arial" w:eastAsia="Times New Roman" w:hAnsi="Arial" w:cs="Arial"/>
          <w:sz w:val="20"/>
          <w:szCs w:val="20"/>
          <w:lang w:eastAsia="bg-BG"/>
        </w:rPr>
        <w:br/>
      </w:r>
      <w:hyperlink r:id="rId22" w:history="1">
        <w:r w:rsidRPr="00F0490E">
          <w:rPr>
            <w:rFonts w:ascii="Arial" w:eastAsia="Times New Roman" w:hAnsi="Arial" w:cs="Arial"/>
            <w:color w:val="007ACC"/>
            <w:sz w:val="20"/>
            <w:szCs w:val="20"/>
            <w:lang w:eastAsia="bg-BG"/>
          </w:rPr>
          <w:t>ssf@ssf-bg.eu</w:t>
        </w:r>
      </w:hyperlink>
    </w:p>
    <w:p w:rsidR="00763ABB" w:rsidRPr="00F0490E" w:rsidRDefault="00763ABB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sz w:val="20"/>
          <w:szCs w:val="20"/>
          <w:lang w:eastAsia="bg-BG"/>
        </w:rPr>
        <w:t>*Изпращайте Вашите запитвания, резюмета  и доклади на посочените имейли.</w:t>
      </w:r>
    </w:p>
    <w:p w:rsidR="00F0490E" w:rsidRPr="00F0490E" w:rsidRDefault="00F0490E" w:rsidP="00763ABB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0490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E53AF1" w:rsidRPr="00763ABB" w:rsidRDefault="00E53AF1" w:rsidP="00763ABB">
      <w:pPr>
        <w:jc w:val="both"/>
        <w:rPr>
          <w:rFonts w:ascii="Arial" w:hAnsi="Arial" w:cs="Arial"/>
          <w:sz w:val="20"/>
          <w:szCs w:val="20"/>
        </w:rPr>
      </w:pPr>
    </w:p>
    <w:sectPr w:rsidR="00E53AF1" w:rsidRPr="00763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635"/>
    <w:multiLevelType w:val="multilevel"/>
    <w:tmpl w:val="2CDE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D0AA8"/>
    <w:multiLevelType w:val="multilevel"/>
    <w:tmpl w:val="F784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625903"/>
    <w:multiLevelType w:val="multilevel"/>
    <w:tmpl w:val="08B2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4078BC"/>
    <w:multiLevelType w:val="multilevel"/>
    <w:tmpl w:val="1868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C44284"/>
    <w:multiLevelType w:val="multilevel"/>
    <w:tmpl w:val="ED5A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6D7483"/>
    <w:multiLevelType w:val="multilevel"/>
    <w:tmpl w:val="4D0A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0E"/>
    <w:rsid w:val="00763ABB"/>
    <w:rsid w:val="00E53AF1"/>
    <w:rsid w:val="00F0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1974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3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3485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  <w:div w:id="1317026144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  <w:div w:id="1978532292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  <w:div w:id="1424452560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  <w:div w:id="987829291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  <w:div w:id="1055935135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  <w:div w:id="1670982395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  <w:div w:id="48773642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.MoI2030@gmail.com" TargetMode="External"/><Relationship Id="rId13" Type="http://schemas.openxmlformats.org/officeDocument/2006/relationships/hyperlink" Target="http://conference.moi2030.ssf-bg.eu/author/radi/" TargetMode="External"/><Relationship Id="rId18" Type="http://schemas.openxmlformats.org/officeDocument/2006/relationships/hyperlink" Target="http://conference.moi2030.ssf-bg.eu/2017/03/27/%d0%be%d1%80%d0%b3%d0%b0%d0%bd%d0%b8%d0%b7%d0%b0%d1%86%d0%b8%d0%be%d0%bd%d0%b5%d0%bd-%d0%ba%d0%be%d0%bc%d0%b8%d1%82%d0%b5%d1%8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onference.MoI2030@gmail.com" TargetMode="External"/><Relationship Id="rId7" Type="http://schemas.openxmlformats.org/officeDocument/2006/relationships/hyperlink" Target="http://conference.moi2030.ssf-bg.eu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conference.moi2030.ssf-bg.eu/author/radi/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ference.moi2030.ssf-bg.eu/2017/03/27/%d0%bf%d1%80%d0%be%d0%b3%d1%80%d0%b0%d0%bc%d0%b5%d0%bd-%d1%81%d1%8a%d0%b2%d0%b5%d1%82/" TargetMode="External"/><Relationship Id="rId20" Type="http://schemas.openxmlformats.org/officeDocument/2006/relationships/hyperlink" Target="http://conference.moi2030.ssf-bg.eu/2017/03/27/foundation-society-and-securit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nference.moi2030.ssf-bg.eu/2017/03/27/%d0%b8%d0%b7%d0%b8%d1%81%d0%ba%d0%b2%d0%b0%d0%bd%d0%b8%d1%8f/" TargetMode="External"/><Relationship Id="rId11" Type="http://schemas.openxmlformats.org/officeDocument/2006/relationships/hyperlink" Target="http://sfsmvr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onference.moi2030.ssf-bg.eu/2017/03/27/%d0%b5%d1%82%d0%b0%d0%bf%d0%b8-%d0%bd%d0%b0-%d0%bd%d0%b0%d0%b1%d0%b8%d1%80%d0%b0%d0%bd%d0%b5-%d0%bd%d0%b0-%d0%bd%d0%b0%d1%83%d1%87%d0%bd%d0%b8%d1%82%d0%b5-%d0%b4%d0%be%d0%ba%d0%bb%d0%b0%d0%b4%d0%b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nwe.bg/" TargetMode="External"/><Relationship Id="rId19" Type="http://schemas.openxmlformats.org/officeDocument/2006/relationships/hyperlink" Target="http://conference.moi2030.ssf-bg.eu/author/rad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f-bg.eu/bg/" TargetMode="External"/><Relationship Id="rId14" Type="http://schemas.openxmlformats.org/officeDocument/2006/relationships/hyperlink" Target="http://conference.moi2030.ssf-bg.eu/2017/03/27/%d0%b2-%d0%ba%d0%be%d0%bd%d1%84%d0%b5%d1%80%d0%b5%d0%bd%d1%86%d0%b8%d1%8f%d1%82%d0%b0-%d1%81%d1%8a%d1%81-%d1%81%d0%b2%d0%be%d0%b8-%d0%b4%d0%be%d0%ba%d0%bb%d0%b0%d0%b4%d0%b8-%d0%bc%d0%be%d0%b3%d0%b0/" TargetMode="External"/><Relationship Id="rId22" Type="http://schemas.openxmlformats.org/officeDocument/2006/relationships/hyperlink" Target="mailto:ssf@ssf-b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DULEVA</dc:creator>
  <cp:lastModifiedBy>LILI DULEVA</cp:lastModifiedBy>
  <cp:revision>2</cp:revision>
  <dcterms:created xsi:type="dcterms:W3CDTF">2017-10-03T05:43:00Z</dcterms:created>
  <dcterms:modified xsi:type="dcterms:W3CDTF">2017-10-03T05:43:00Z</dcterms:modified>
</cp:coreProperties>
</file>